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AB" w:rsidRDefault="00A456C0" w:rsidP="00FB56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349AB" w:rsidRPr="00F50506" w:rsidRDefault="003349AB" w:rsidP="003349AB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05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9A3FB0" wp14:editId="5B8A4E61">
            <wp:extent cx="67564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AB" w:rsidRPr="00F50506" w:rsidRDefault="003349AB" w:rsidP="003349AB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F50506">
        <w:rPr>
          <w:rFonts w:ascii="Times New Roman" w:hAnsi="Times New Roman" w:cs="Times New Roman"/>
          <w:b/>
          <w:noProof/>
          <w:sz w:val="32"/>
          <w:szCs w:val="32"/>
        </w:rPr>
        <w:t>СОВЕТ ДЕПУТАТОВ</w:t>
      </w:r>
    </w:p>
    <w:p w:rsidR="003349AB" w:rsidRPr="00F50506" w:rsidRDefault="003349AB" w:rsidP="00334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506">
        <w:rPr>
          <w:rFonts w:ascii="Times New Roman" w:hAnsi="Times New Roman" w:cs="Times New Roman"/>
          <w:b/>
          <w:sz w:val="32"/>
          <w:szCs w:val="32"/>
        </w:rPr>
        <w:t>ГОРОДСКОГО ОКРУГА ГОРОД ВЫКСА</w:t>
      </w:r>
    </w:p>
    <w:p w:rsidR="003349AB" w:rsidRPr="00F50506" w:rsidRDefault="003349AB" w:rsidP="00334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506">
        <w:rPr>
          <w:rFonts w:ascii="Times New Roman" w:hAnsi="Times New Roman" w:cs="Times New Roman"/>
          <w:b/>
          <w:sz w:val="32"/>
          <w:szCs w:val="32"/>
        </w:rPr>
        <w:t>НИЖЕГОРОДСКОЙ ОБЛАСТИ</w:t>
      </w:r>
    </w:p>
    <w:p w:rsidR="003349AB" w:rsidRPr="00F50506" w:rsidRDefault="003349AB" w:rsidP="00334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505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3349AB" w:rsidRPr="00397A27" w:rsidRDefault="003349AB" w:rsidP="00334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                                   </w:t>
      </w:r>
      <w:r w:rsidRPr="00397A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3349AB" w:rsidRPr="00310714" w:rsidRDefault="003349AB" w:rsidP="00FD7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A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A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7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F5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3349AB" w:rsidRPr="0000036E" w:rsidRDefault="003349AB" w:rsidP="00334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AB" w:rsidRDefault="003349AB" w:rsidP="0033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</w:t>
      </w: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отчете о работе посто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янной комиссии Совета депутатов</w:t>
      </w:r>
    </w:p>
    <w:p w:rsidR="003349AB" w:rsidRPr="00AB6121" w:rsidRDefault="003349AB" w:rsidP="0033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 Выкса Нижегородской области</w:t>
      </w:r>
    </w:p>
    <w:p w:rsidR="003349AB" w:rsidRPr="00AB6121" w:rsidRDefault="003349AB" w:rsidP="0033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социальной политике за 202</w:t>
      </w:r>
      <w:r w:rsidR="00F72A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3349AB" w:rsidRPr="00137784" w:rsidRDefault="003349AB" w:rsidP="0033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3349AB" w:rsidRPr="00AB6121" w:rsidRDefault="003349AB" w:rsidP="00334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Регламента Совета депутатов городского округа город Выкса Нижегородской области</w:t>
      </w:r>
    </w:p>
    <w:p w:rsidR="003349AB" w:rsidRPr="00AB6121" w:rsidRDefault="003349AB" w:rsidP="00334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AB" w:rsidRPr="00AB6121" w:rsidRDefault="003349AB" w:rsidP="003349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 е ш и л</w:t>
      </w: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49AB" w:rsidRPr="00AB6121" w:rsidRDefault="003349AB" w:rsidP="003349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AB" w:rsidRPr="00AB6121" w:rsidRDefault="003349AB" w:rsidP="00334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прилагаемый отчет о работе постоянной комиссии Совета депутатов городского округа город Выкса Нижегородской области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политике</w:t>
      </w: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F72A1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3349AB" w:rsidRPr="00AB6121" w:rsidRDefault="003349AB" w:rsidP="00334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AB" w:rsidRPr="00AB6121" w:rsidRDefault="003349AB" w:rsidP="00334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AB" w:rsidRPr="00771D9A" w:rsidRDefault="003349AB" w:rsidP="00A456C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9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A456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="00A456C0">
        <w:rPr>
          <w:rFonts w:ascii="Times New Roman" w:hAnsi="Times New Roman" w:cs="Times New Roman"/>
          <w:sz w:val="24"/>
          <w:szCs w:val="24"/>
        </w:rPr>
        <w:t xml:space="preserve">    </w:t>
      </w:r>
      <w:r w:rsidRPr="00771D9A">
        <w:rPr>
          <w:rFonts w:ascii="Times New Roman" w:hAnsi="Times New Roman" w:cs="Times New Roman"/>
          <w:sz w:val="24"/>
          <w:szCs w:val="24"/>
        </w:rPr>
        <w:t>Д.В.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D9A">
        <w:rPr>
          <w:rFonts w:ascii="Times New Roman" w:hAnsi="Times New Roman" w:cs="Times New Roman"/>
          <w:sz w:val="24"/>
          <w:szCs w:val="24"/>
        </w:rPr>
        <w:t>Махров</w:t>
      </w:r>
    </w:p>
    <w:p w:rsidR="003349AB" w:rsidRDefault="003349AB" w:rsidP="003349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56E5" w:rsidRDefault="00FB56E5" w:rsidP="00FB56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B56E5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Приложение</w:t>
      </w:r>
    </w:p>
    <w:p w:rsidR="00FB56E5" w:rsidRPr="00394211" w:rsidRDefault="00FB56E5" w:rsidP="00FB56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21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B56E5" w:rsidRPr="00394211" w:rsidRDefault="00FB56E5" w:rsidP="00FB56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211">
        <w:rPr>
          <w:rFonts w:ascii="Times New Roman" w:hAnsi="Times New Roman" w:cs="Times New Roman"/>
          <w:sz w:val="24"/>
          <w:szCs w:val="24"/>
        </w:rPr>
        <w:t>городского округа город Выкса</w:t>
      </w:r>
    </w:p>
    <w:p w:rsidR="00FB56E5" w:rsidRPr="00394211" w:rsidRDefault="00FB56E5" w:rsidP="00FB56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211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FB56E5" w:rsidRPr="00FD7F56" w:rsidRDefault="00FB56E5" w:rsidP="00FB56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211">
        <w:rPr>
          <w:rFonts w:ascii="Times New Roman" w:hAnsi="Times New Roman" w:cs="Times New Roman"/>
          <w:sz w:val="24"/>
          <w:szCs w:val="24"/>
        </w:rPr>
        <w:t xml:space="preserve">от </w:t>
      </w:r>
      <w:r w:rsidR="00395796" w:rsidRPr="00394211">
        <w:rPr>
          <w:rFonts w:ascii="Times New Roman" w:hAnsi="Times New Roman" w:cs="Times New Roman"/>
          <w:sz w:val="24"/>
          <w:szCs w:val="24"/>
        </w:rPr>
        <w:t>2</w:t>
      </w:r>
      <w:r w:rsidR="00F72A19">
        <w:rPr>
          <w:rFonts w:ascii="Times New Roman" w:hAnsi="Times New Roman" w:cs="Times New Roman"/>
          <w:sz w:val="24"/>
          <w:szCs w:val="24"/>
        </w:rPr>
        <w:t>5</w:t>
      </w:r>
      <w:r w:rsidR="00395796" w:rsidRPr="00394211">
        <w:rPr>
          <w:rFonts w:ascii="Times New Roman" w:hAnsi="Times New Roman" w:cs="Times New Roman"/>
          <w:sz w:val="24"/>
          <w:szCs w:val="24"/>
        </w:rPr>
        <w:t>.02.202</w:t>
      </w:r>
      <w:r w:rsidR="00F72A19">
        <w:rPr>
          <w:rFonts w:ascii="Times New Roman" w:hAnsi="Times New Roman" w:cs="Times New Roman"/>
          <w:sz w:val="24"/>
          <w:szCs w:val="24"/>
        </w:rPr>
        <w:t>5</w:t>
      </w:r>
      <w:r w:rsidR="00395796" w:rsidRPr="00394211">
        <w:rPr>
          <w:rFonts w:ascii="Times New Roman" w:hAnsi="Times New Roman" w:cs="Times New Roman"/>
          <w:sz w:val="24"/>
          <w:szCs w:val="24"/>
        </w:rPr>
        <w:t xml:space="preserve"> </w:t>
      </w:r>
      <w:r w:rsidRPr="00394211">
        <w:rPr>
          <w:rFonts w:ascii="Times New Roman" w:hAnsi="Times New Roman" w:cs="Times New Roman"/>
          <w:sz w:val="24"/>
          <w:szCs w:val="24"/>
        </w:rPr>
        <w:t>№</w:t>
      </w:r>
      <w:r w:rsidR="00394211" w:rsidRPr="00394211">
        <w:rPr>
          <w:rFonts w:ascii="Times New Roman" w:hAnsi="Times New Roman" w:cs="Times New Roman"/>
          <w:sz w:val="24"/>
          <w:szCs w:val="24"/>
        </w:rPr>
        <w:t xml:space="preserve"> </w:t>
      </w:r>
      <w:r w:rsidR="007B03B5" w:rsidRPr="007B03B5">
        <w:rPr>
          <w:rFonts w:ascii="Times New Roman" w:hAnsi="Times New Roman" w:cs="Times New Roman"/>
          <w:sz w:val="24"/>
          <w:szCs w:val="24"/>
        </w:rPr>
        <w:t>1</w:t>
      </w:r>
      <w:r w:rsidR="007B03B5" w:rsidRPr="00FD7F56">
        <w:rPr>
          <w:rFonts w:ascii="Times New Roman" w:hAnsi="Times New Roman" w:cs="Times New Roman"/>
          <w:sz w:val="24"/>
          <w:szCs w:val="24"/>
        </w:rPr>
        <w:t>2</w:t>
      </w:r>
    </w:p>
    <w:p w:rsidR="00FB56E5" w:rsidRDefault="00FB56E5" w:rsidP="00FB56E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3ED7" w:rsidRPr="00B13ED7" w:rsidRDefault="00433D60" w:rsidP="00B13E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ED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15517" w:rsidRPr="00B13ED7" w:rsidRDefault="00433D60" w:rsidP="00B13E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ED7">
        <w:rPr>
          <w:rFonts w:ascii="Times New Roman" w:hAnsi="Times New Roman" w:cs="Times New Roman"/>
          <w:b/>
          <w:sz w:val="32"/>
          <w:szCs w:val="32"/>
        </w:rPr>
        <w:t xml:space="preserve">о работе постоянной комиссии Совета депутатов </w:t>
      </w:r>
    </w:p>
    <w:p w:rsidR="00515517" w:rsidRPr="00B13ED7" w:rsidRDefault="00433D60" w:rsidP="00B13E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ED7">
        <w:rPr>
          <w:rFonts w:ascii="Times New Roman" w:hAnsi="Times New Roman" w:cs="Times New Roman"/>
          <w:b/>
          <w:sz w:val="32"/>
          <w:szCs w:val="32"/>
        </w:rPr>
        <w:t xml:space="preserve">городского округа город Выкса Нижегородской области </w:t>
      </w:r>
    </w:p>
    <w:p w:rsidR="00433D60" w:rsidRPr="00B13ED7" w:rsidRDefault="00433D60" w:rsidP="00B13E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ED7">
        <w:rPr>
          <w:rFonts w:ascii="Times New Roman" w:hAnsi="Times New Roman" w:cs="Times New Roman"/>
          <w:b/>
          <w:sz w:val="32"/>
          <w:szCs w:val="32"/>
        </w:rPr>
        <w:t>по социальной политике</w:t>
      </w:r>
    </w:p>
    <w:p w:rsidR="00433D60" w:rsidRPr="00A54CF0" w:rsidRDefault="00433D60" w:rsidP="00433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A1E" w:rsidRPr="005D3DB0" w:rsidRDefault="003F7A1E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и </w:t>
      </w:r>
      <w:r w:rsidR="005A0D2A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ведения постоянной комиссии Совета депутатов городского округа город Выкса Нижегородской области по социальной политике (далее </w:t>
      </w:r>
      <w:r w:rsidR="007B03B5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постоянная комиссия) определены</w:t>
      </w:r>
      <w:r w:rsidR="00FD12CD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FD12CD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городского округа город Выкса Нижегородской области 28 сентября 2021 года № 5 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«О постоянных комиссиях Совета депутатов городского округа город Выкса Нижегородской области».</w:t>
      </w:r>
    </w:p>
    <w:p w:rsidR="006872A5" w:rsidRPr="005D3DB0" w:rsidRDefault="003F7A1E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D12CD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 п</w:t>
      </w:r>
      <w:r w:rsidR="00433D6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остоянн</w:t>
      </w:r>
      <w:r w:rsidR="00FD12CD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433D6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</w:t>
      </w:r>
      <w:r w:rsidR="00AF35A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33D6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входят</w:t>
      </w:r>
      <w:r w:rsidR="00367C93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A19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67C93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F7A1E" w:rsidRPr="005D3DB0" w:rsidRDefault="003F7A1E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- Телегина Галина Ивановна – председатель постоянной комиссии;</w:t>
      </w:r>
    </w:p>
    <w:p w:rsidR="00433D60" w:rsidRPr="005D3DB0" w:rsidRDefault="006872A5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33D6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Козерадская Е</w:t>
      </w:r>
      <w:r w:rsidR="001A6EA9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катерина Анатольевна</w:t>
      </w:r>
      <w:r w:rsidR="00433D6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заместитель председателя </w:t>
      </w:r>
      <w:r w:rsidR="003F7A1E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постоянной 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комиссии;</w:t>
      </w:r>
      <w:r w:rsidR="00F72A19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651FB8" w:rsidRPr="005D3DB0" w:rsidRDefault="00651FB8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комиссии:</w:t>
      </w:r>
      <w:r w:rsidR="00B13ED7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94211" w:rsidRPr="005D3DB0" w:rsidRDefault="00394211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Агалаков Алексей Юрьевич, Карпов Руслан Владимирович, Козина Татьяна Николаевна, </w:t>
      </w:r>
      <w:proofErr w:type="spellStart"/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Лядова</w:t>
      </w:r>
      <w:proofErr w:type="spellEnd"/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Александра Сергеевна, Царев Дмитрий Валерьевич.</w:t>
      </w:r>
      <w:r w:rsidR="005A572D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7A1E" w:rsidRPr="005D3DB0" w:rsidRDefault="003F7A1E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Постоянная комиссия выполняет свою работу в соответствии с Регламентом</w:t>
      </w:r>
      <w:r w:rsidR="008117B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городского округа город Выкса Нижегородской области, планом работы Совета депутатов городского округа город Выкса Нижегородской области, планом работы постоянной комиссии и руководствуется федеральным законодательством, законами Нижегородской области и муниципальными правовыми актами городского округа город Выкса Нижегородской области.</w:t>
      </w:r>
    </w:p>
    <w:p w:rsidR="00433D60" w:rsidRPr="005D3DB0" w:rsidRDefault="001A6EA9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План работы комиссии на 202</w:t>
      </w:r>
      <w:r w:rsidR="00FF73D8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был </w:t>
      </w:r>
      <w:r w:rsidR="00746AD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="00FF73D8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постоянных комиссий</w:t>
      </w:r>
      <w:r w:rsidR="00540C7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3D8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540C7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202</w:t>
      </w:r>
      <w:r w:rsidR="00FF73D8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40C7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FF73D8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B8D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F73D8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 2</w:t>
      </w:r>
      <w:r w:rsidR="00646B8D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72A19" w:rsidRPr="005D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504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5040" w:rsidRPr="005D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E0402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вопросами по направлени</w:t>
      </w:r>
      <w:r w:rsidR="0045031B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CE0402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комиссии.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1E9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в себя не только вопросы</w:t>
      </w:r>
      <w:r w:rsidR="005901E9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, входящие в ее компетенцию, но и вопросы, связанные с бюджетом городского округа го</w:t>
      </w:r>
      <w:r w:rsidR="005A0D2A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род Выкса Нижегородской области,</w:t>
      </w:r>
      <w:r w:rsidR="00E72535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внесением изменений в Устав </w:t>
      </w:r>
      <w:r w:rsidR="0081689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город Выкса Нижегородской области </w:t>
      </w:r>
      <w:r w:rsidR="00E72535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и Регламент Совета депутатов городского округа город Выкса</w:t>
      </w:r>
      <w:r w:rsidR="0081689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Нижегородской области</w:t>
      </w:r>
      <w:r w:rsidR="00E72535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0D2A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73F4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качеством </w:t>
      </w:r>
      <w:r w:rsidR="005A0D2A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ис</w:t>
      </w:r>
      <w:r w:rsidR="006354FB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полнени</w:t>
      </w:r>
      <w:r w:rsidR="00B73F4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6354FB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национальных проектов, с эффективностью муниципальных программ по итогам 2023 года</w:t>
      </w:r>
      <w:r w:rsidR="006354FB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94211" w:rsidRPr="005D3DB0" w:rsidRDefault="00CD13E1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отчетный период </w:t>
      </w:r>
      <w:r w:rsidR="006A3CF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было проведено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A19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6A3CF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</w:t>
      </w:r>
      <w:r w:rsidR="00F72A19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6A3CF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17B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</w:t>
      </w:r>
      <w:r w:rsidR="005A572D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B583E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заседания постоянной комиссии Совета д</w:t>
      </w:r>
      <w:r w:rsidR="005A572D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епутатов по социальной политике и круглый стол на тему: «Мониторинг </w:t>
      </w:r>
      <w:proofErr w:type="spellStart"/>
      <w:r w:rsidR="005A572D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правоприменения</w:t>
      </w:r>
      <w:proofErr w:type="spellEnd"/>
      <w:r w:rsidR="005A572D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Совета депутатов от 28 июля 2015 года № 80 «О муниципальной поддержке социально ориентированных некоммерческих организаций в городском округе город Выкса Нижегородской области»</w:t>
      </w:r>
      <w:r w:rsidR="005A0D2A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</w:t>
      </w:r>
      <w:r w:rsidR="008117B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ринято </w:t>
      </w:r>
      <w:r w:rsidR="00FF73D8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126</w:t>
      </w:r>
      <w:r w:rsidR="002D206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</w:t>
      </w:r>
      <w:r w:rsidR="00FF73D8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394211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0D95" w:rsidRPr="005D3DB0" w:rsidRDefault="00E70D95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0D95" w:rsidRPr="005D3DB0" w:rsidRDefault="00E70D95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0D95" w:rsidRPr="005D3DB0" w:rsidRDefault="00E70D95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0D95" w:rsidRPr="005D3DB0" w:rsidRDefault="00E70D95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0D95" w:rsidRPr="005D3DB0" w:rsidRDefault="00E70D95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FD0" w:rsidRPr="005D3DB0" w:rsidRDefault="00757FD0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Количественные показатели участия членов в работе постоянной комиссии:</w:t>
      </w:r>
    </w:p>
    <w:p w:rsidR="00FF73D8" w:rsidRPr="005D3DB0" w:rsidRDefault="00FF73D8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111"/>
      </w:tblGrid>
      <w:tr w:rsidR="005D3DB0" w:rsidRPr="005D3DB0" w:rsidTr="00395796">
        <w:tc>
          <w:tcPr>
            <w:tcW w:w="5098" w:type="dxa"/>
          </w:tcPr>
          <w:p w:rsidR="00395796" w:rsidRPr="005D3DB0" w:rsidRDefault="00395796" w:rsidP="005D3D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И. О.</w:t>
            </w:r>
          </w:p>
        </w:tc>
        <w:tc>
          <w:tcPr>
            <w:tcW w:w="4111" w:type="dxa"/>
          </w:tcPr>
          <w:p w:rsidR="00395796" w:rsidRPr="005D3DB0" w:rsidRDefault="00395796" w:rsidP="005D3D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Участвовал</w:t>
            </w:r>
          </w:p>
          <w:p w:rsidR="00395796" w:rsidRPr="005D3DB0" w:rsidRDefault="00395796" w:rsidP="005D3D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(кол-во)</w:t>
            </w:r>
          </w:p>
        </w:tc>
      </w:tr>
      <w:tr w:rsidR="005D3DB0" w:rsidRPr="005D3DB0" w:rsidTr="00395796">
        <w:tc>
          <w:tcPr>
            <w:tcW w:w="5098" w:type="dxa"/>
          </w:tcPr>
          <w:p w:rsidR="00395796" w:rsidRPr="005D3DB0" w:rsidRDefault="00395796" w:rsidP="005D3D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Телегина Г.И.</w:t>
            </w:r>
          </w:p>
        </w:tc>
        <w:tc>
          <w:tcPr>
            <w:tcW w:w="4111" w:type="dxa"/>
          </w:tcPr>
          <w:p w:rsidR="00395796" w:rsidRPr="005D3DB0" w:rsidRDefault="00FF73D8" w:rsidP="005D3D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5D3DB0" w:rsidRPr="005D3DB0" w:rsidTr="00395796">
        <w:tc>
          <w:tcPr>
            <w:tcW w:w="5098" w:type="dxa"/>
          </w:tcPr>
          <w:p w:rsidR="00395796" w:rsidRPr="005D3DB0" w:rsidRDefault="00395796" w:rsidP="005D3D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Козерадская</w:t>
            </w:r>
            <w:proofErr w:type="spellEnd"/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4111" w:type="dxa"/>
          </w:tcPr>
          <w:p w:rsidR="00395796" w:rsidRPr="005D3DB0" w:rsidRDefault="00FF73D8" w:rsidP="005D3D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D3DB0" w:rsidRPr="005D3DB0" w:rsidTr="00395796">
        <w:tc>
          <w:tcPr>
            <w:tcW w:w="5098" w:type="dxa"/>
          </w:tcPr>
          <w:p w:rsidR="00394211" w:rsidRPr="005D3DB0" w:rsidRDefault="00394211" w:rsidP="005D3D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Агалаков А.Ю.</w:t>
            </w:r>
          </w:p>
        </w:tc>
        <w:tc>
          <w:tcPr>
            <w:tcW w:w="4111" w:type="dxa"/>
          </w:tcPr>
          <w:p w:rsidR="00394211" w:rsidRPr="005D3DB0" w:rsidRDefault="00FF73D8" w:rsidP="005D3D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D3DB0" w:rsidRPr="005D3DB0" w:rsidTr="00395796">
        <w:tc>
          <w:tcPr>
            <w:tcW w:w="5098" w:type="dxa"/>
          </w:tcPr>
          <w:p w:rsidR="00394211" w:rsidRPr="005D3DB0" w:rsidRDefault="00394211" w:rsidP="005D3D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Р.В.</w:t>
            </w:r>
          </w:p>
        </w:tc>
        <w:tc>
          <w:tcPr>
            <w:tcW w:w="4111" w:type="dxa"/>
          </w:tcPr>
          <w:p w:rsidR="00394211" w:rsidRPr="005D3DB0" w:rsidRDefault="00394211" w:rsidP="005D3D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F73D8"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D3DB0" w:rsidRPr="005D3DB0" w:rsidTr="00395796">
        <w:tc>
          <w:tcPr>
            <w:tcW w:w="5098" w:type="dxa"/>
          </w:tcPr>
          <w:p w:rsidR="00394211" w:rsidRPr="005D3DB0" w:rsidRDefault="00394211" w:rsidP="005D3D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Козина Т.Н. </w:t>
            </w:r>
          </w:p>
        </w:tc>
        <w:tc>
          <w:tcPr>
            <w:tcW w:w="4111" w:type="dxa"/>
          </w:tcPr>
          <w:p w:rsidR="00394211" w:rsidRPr="005D3DB0" w:rsidRDefault="00FF73D8" w:rsidP="005D3D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D3DB0" w:rsidRPr="005D3DB0" w:rsidTr="00395796">
        <w:tc>
          <w:tcPr>
            <w:tcW w:w="5098" w:type="dxa"/>
          </w:tcPr>
          <w:p w:rsidR="00394211" w:rsidRPr="005D3DB0" w:rsidRDefault="00394211" w:rsidP="005D3D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Лядова</w:t>
            </w:r>
            <w:proofErr w:type="spellEnd"/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  <w:tc>
          <w:tcPr>
            <w:tcW w:w="4111" w:type="dxa"/>
          </w:tcPr>
          <w:p w:rsidR="00394211" w:rsidRPr="005D3DB0" w:rsidRDefault="00394211" w:rsidP="005D3D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D3DB0" w:rsidRPr="005D3DB0" w:rsidTr="00395796">
        <w:tc>
          <w:tcPr>
            <w:tcW w:w="5098" w:type="dxa"/>
          </w:tcPr>
          <w:p w:rsidR="00394211" w:rsidRPr="005D3DB0" w:rsidRDefault="00394211" w:rsidP="005D3D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Царев Д.В.</w:t>
            </w:r>
          </w:p>
        </w:tc>
        <w:tc>
          <w:tcPr>
            <w:tcW w:w="4111" w:type="dxa"/>
          </w:tcPr>
          <w:p w:rsidR="00394211" w:rsidRPr="005D3DB0" w:rsidRDefault="00FF73D8" w:rsidP="005D3D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757FD0" w:rsidRPr="005D3DB0" w:rsidRDefault="00757FD0" w:rsidP="005D3DB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13E1" w:rsidRPr="005D3DB0" w:rsidRDefault="00E11330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CD13E1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CD13E1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B1269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CD13E1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9B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постоянной </w:t>
      </w:r>
      <w:r w:rsidR="00CD13E1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были </w:t>
      </w:r>
      <w:r w:rsidR="0070557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рассмотрены</w:t>
      </w:r>
      <w:r w:rsidR="00CD13E1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вопросы:</w:t>
      </w:r>
    </w:p>
    <w:p w:rsidR="003C639A" w:rsidRPr="005D3DB0" w:rsidRDefault="00CF66B3" w:rsidP="005D3D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A06754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4B74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06754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639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работе комиссии по делам несовершеннолетних и защите их прав при администрации городского округа город Выкса Нижегородской области за 2023 год. </w:t>
      </w:r>
    </w:p>
    <w:p w:rsidR="004D7CF0" w:rsidRPr="005D3DB0" w:rsidRDefault="004D7CF0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Обсудили основные мероприятия, направленные на профилактику безнадзорности и правонарушений несовершеннолетних.</w:t>
      </w:r>
      <w:r w:rsidR="003A3008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A3008" w:rsidRPr="005D3DB0" w:rsidRDefault="003A3008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комиссии в округе обеспечивает отдел по защите прав несовершеннолетних управления по социальной политике администрации городского округа город Выкса.</w:t>
      </w:r>
      <w:r w:rsidR="00BC4A1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комиссии носит комплексный характер. Помимо заседаний комиссии отдел использ</w:t>
      </w:r>
      <w:r w:rsidR="005A0D2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ует</w:t>
      </w:r>
      <w:r w:rsidR="00BC4A1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такие</w:t>
      </w:r>
      <w:r w:rsidR="005A0D2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межведомственные формы работы </w:t>
      </w:r>
      <w:r w:rsidR="00BC4A1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конференции, семинары-практикумы, организация горячих телефонных линий, организаци</w:t>
      </w:r>
      <w:r w:rsidR="005A0D2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="00BC4A1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межведомственных мероприятий, выездные социальные патрули.</w:t>
      </w:r>
    </w:p>
    <w:p w:rsidR="006B380E" w:rsidRPr="005D3DB0" w:rsidRDefault="006B380E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</w:t>
      </w:r>
      <w:r w:rsidR="00DA4A2C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ставе комиссии работает заведующий наркологическим отделением </w:t>
      </w:r>
      <w:proofErr w:type="gramStart"/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ГБУЗ</w:t>
      </w:r>
      <w:proofErr w:type="gramEnd"/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</w:t>
      </w:r>
      <w:r w:rsidR="00DA4A2C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«Выксунская ЦРБ», врач-нарколог, который консультирует подростков и их родителей в ходе заседания, а также приглашает в наркологический кабинет для организации индивидуальной работы.</w:t>
      </w:r>
    </w:p>
    <w:p w:rsidR="00AF50E5" w:rsidRPr="005D3DB0" w:rsidRDefault="00AF50E5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оказыва</w:t>
      </w:r>
      <w:r w:rsidR="005A0D2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ется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содействие в трудоустройстве несовершеннолетним, состоящим на различных формах профилактического учета.</w:t>
      </w:r>
    </w:p>
    <w:p w:rsidR="00D37FED" w:rsidRPr="005D3DB0" w:rsidRDefault="00D37FED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привлечения внимания к проблемам детской безнадзорности и правонарушений</w:t>
      </w:r>
      <w:r w:rsidR="0013321B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комиссией использ</w:t>
      </w:r>
      <w:r w:rsidR="005A0D2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уется</w:t>
      </w:r>
      <w:r w:rsidR="0013321B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такая форма работы по профилактике асоциально</w:t>
      </w:r>
      <w:r w:rsidR="00B323E0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поведения несовершеннолетних</w:t>
      </w:r>
      <w:r w:rsidR="0013321B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23E0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3321B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рекламно-пропагандистские мероприятия.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C639A" w:rsidRPr="005D3DB0" w:rsidRDefault="003C639A" w:rsidP="005D3DB0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 w:rsidRPr="005D3DB0">
        <w:rPr>
          <w:rFonts w:eastAsia="Times New Roman"/>
          <w:color w:val="000000" w:themeColor="text1"/>
          <w:lang w:eastAsia="ru-RU"/>
        </w:rPr>
        <w:t>2) О</w:t>
      </w:r>
      <w:r w:rsidRPr="005D3DB0">
        <w:rPr>
          <w:color w:val="000000" w:themeColor="text1"/>
        </w:rPr>
        <w:t xml:space="preserve"> реализации мероприятий по исполнению требований по антитеррористической защищенности объектов образования в рамках подпрограммы «Развитие дошкольного и общего образования» муниципальной программы «Развитие образования городского округа город Выкса Нижегородской области».</w:t>
      </w:r>
    </w:p>
    <w:p w:rsidR="000F5D01" w:rsidRPr="005D3DB0" w:rsidRDefault="002417E9" w:rsidP="005D3DB0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 w:rsidRPr="005D3DB0">
        <w:rPr>
          <w:color w:val="000000" w:themeColor="text1"/>
        </w:rPr>
        <w:t xml:space="preserve">По состоянию на 01.06.2024 г. </w:t>
      </w:r>
      <w:r w:rsidR="005A0D2A" w:rsidRPr="005D3DB0">
        <w:rPr>
          <w:color w:val="000000" w:themeColor="text1"/>
        </w:rPr>
        <w:t>в</w:t>
      </w:r>
      <w:r w:rsidRPr="005D3DB0">
        <w:rPr>
          <w:color w:val="000000" w:themeColor="text1"/>
        </w:rPr>
        <w:t xml:space="preserve"> городском округе город Выкса Нижегородской области функционирует 55 образовательных организаций. В 2023 году проведена работа по обследованию и категорированию объектов, а также разработке паспортов безопасности.</w:t>
      </w:r>
    </w:p>
    <w:p w:rsidR="002417E9" w:rsidRPr="005D3DB0" w:rsidRDefault="002417E9" w:rsidP="005D3DB0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 w:rsidRPr="005D3DB0">
        <w:rPr>
          <w:color w:val="000000" w:themeColor="text1"/>
        </w:rPr>
        <w:t>Планомерно проводятся тренировки по антитеррористической защищенности.</w:t>
      </w:r>
    </w:p>
    <w:p w:rsidR="0013321B" w:rsidRPr="005D3DB0" w:rsidRDefault="002417E9" w:rsidP="005D3DB0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 w:rsidRPr="005D3DB0">
        <w:rPr>
          <w:color w:val="000000" w:themeColor="text1"/>
        </w:rPr>
        <w:t xml:space="preserve">На постоянной основе проводятся </w:t>
      </w:r>
      <w:r w:rsidR="008D2B24" w:rsidRPr="005D3DB0">
        <w:rPr>
          <w:color w:val="000000" w:themeColor="text1"/>
        </w:rPr>
        <w:t>мероприятия</w:t>
      </w:r>
      <w:r w:rsidRPr="005D3DB0">
        <w:rPr>
          <w:color w:val="000000" w:themeColor="text1"/>
        </w:rPr>
        <w:t xml:space="preserve"> по и</w:t>
      </w:r>
      <w:r w:rsidR="00E95EB8" w:rsidRPr="005D3DB0">
        <w:rPr>
          <w:color w:val="000000" w:themeColor="text1"/>
        </w:rPr>
        <w:t xml:space="preserve">нформированию учащихся о мерах </w:t>
      </w:r>
      <w:r w:rsidRPr="005D3DB0">
        <w:rPr>
          <w:color w:val="000000" w:themeColor="text1"/>
        </w:rPr>
        <w:t xml:space="preserve">по </w:t>
      </w:r>
      <w:r w:rsidR="001341AC" w:rsidRPr="005D3DB0">
        <w:rPr>
          <w:color w:val="000000" w:themeColor="text1"/>
        </w:rPr>
        <w:t xml:space="preserve">антитеррористической защищенности, руководителям </w:t>
      </w:r>
      <w:r w:rsidR="005A0D2A" w:rsidRPr="005D3DB0">
        <w:rPr>
          <w:color w:val="000000" w:themeColor="text1"/>
        </w:rPr>
        <w:t xml:space="preserve">организаций </w:t>
      </w:r>
      <w:r w:rsidR="001341AC" w:rsidRPr="005D3DB0">
        <w:rPr>
          <w:color w:val="000000" w:themeColor="text1"/>
        </w:rPr>
        <w:t>доводятся методические рекомендации и материалы.</w:t>
      </w:r>
    </w:p>
    <w:p w:rsidR="003C639A" w:rsidRPr="005D3DB0" w:rsidRDefault="003C639A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Pr="005D3D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проведении мониторинга</w:t>
      </w:r>
      <w:r w:rsidRPr="005D3D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правоприменения</w:t>
      </w:r>
      <w:proofErr w:type="spellEnd"/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Совета депутатов от 28 июля 2015 года № 80 «О муниципальной поддержке социально ориентированных некоммерческих организаций в городском округе город Выкса Нижегородской области».</w:t>
      </w:r>
    </w:p>
    <w:p w:rsidR="001341AC" w:rsidRPr="005D3DB0" w:rsidRDefault="001341AC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утвержден график мероприятий по проведению мониторинга и критерии эффективности применения указанного решения.</w:t>
      </w:r>
    </w:p>
    <w:p w:rsidR="00C21351" w:rsidRPr="005D3DB0" w:rsidRDefault="00C21351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мониторинга:</w:t>
      </w:r>
    </w:p>
    <w:p w:rsidR="00C21351" w:rsidRPr="005D3DB0" w:rsidRDefault="00C21351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были изучены и проанализированы нормативные правовые акты городского округа город Выкса в сфере оказания муниципальной поддержки социально ориентированных некоммерческих организаций</w:t>
      </w:r>
      <w:r w:rsidR="005A0D2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21351" w:rsidRPr="005D3DB0" w:rsidRDefault="00C21351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выявлены проблемные вопросы </w:t>
      </w:r>
      <w:proofErr w:type="spellStart"/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правоприменения</w:t>
      </w:r>
      <w:proofErr w:type="spellEnd"/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Совета депутатов от 28 июля 2015 года № 80 «О муниципальной поддержке социально ориентированных некоммерческих организаций в городском округе город Выкса Нижегородской области»;</w:t>
      </w:r>
    </w:p>
    <w:p w:rsidR="00C21351" w:rsidRPr="005D3DB0" w:rsidRDefault="00C21351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проведен круглый стол с участием </w:t>
      </w:r>
      <w:r w:rsidR="005A0D2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депутатов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Совета депутатов, администрации и СО НКО.</w:t>
      </w:r>
    </w:p>
    <w:p w:rsidR="00AE06D5" w:rsidRPr="005D3DB0" w:rsidRDefault="00AE06D5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круглого стола обменялись мнениями по вопросам</w:t>
      </w:r>
      <w:r w:rsidR="006C35F2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кас</w:t>
      </w:r>
      <w:r w:rsidR="000D0542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ающи</w:t>
      </w:r>
      <w:r w:rsidR="006C35F2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0D0542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практики оказания муниципальной поддержки</w:t>
      </w:r>
      <w:r w:rsidR="006C35F2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35F2" w:rsidRPr="005D3DB0" w:rsidRDefault="006C35F2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круглого стола </w:t>
      </w:r>
      <w:r w:rsidR="002B2B27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отметили следующее:</w:t>
      </w:r>
    </w:p>
    <w:p w:rsidR="002B2B27" w:rsidRPr="005D3DB0" w:rsidRDefault="002B2B27" w:rsidP="005D3DB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средств на оказание поддержки в области подготовки, дополнительного профессионального образования работников и добровольцев (волонтеров) СО НКО;</w:t>
      </w:r>
    </w:p>
    <w:p w:rsidR="002B2B27" w:rsidRPr="005D3DB0" w:rsidRDefault="002B2B27" w:rsidP="005D3DB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- недостаточно</w:t>
      </w:r>
      <w:r w:rsidR="00FB5B31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е кол</w:t>
      </w:r>
      <w:r w:rsidR="005A0D2A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ичество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помещений, соответствующих требованиям </w:t>
      </w:r>
      <w:proofErr w:type="spellStart"/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оказания услуг разным категориям граждан;</w:t>
      </w:r>
    </w:p>
    <w:p w:rsidR="002B2B27" w:rsidRPr="005D3DB0" w:rsidRDefault="002B2B27" w:rsidP="005D3DB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- не оказ</w:t>
      </w:r>
      <w:r w:rsidR="005A0D2A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ание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поддержки на</w:t>
      </w:r>
      <w:r w:rsidRPr="005D3D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закупок товаров, работ, услуг для обеспечения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и муниципальных нужд;</w:t>
      </w:r>
    </w:p>
    <w:p w:rsidR="002B2B27" w:rsidRPr="005D3DB0" w:rsidRDefault="002B2B27" w:rsidP="005D3DB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- целесообразно</w:t>
      </w:r>
      <w:r w:rsidR="005A0D2A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сть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закрепления самостоятельной формы поддержки в виде транспортного обеспечения </w:t>
      </w:r>
      <w:r w:rsidR="006C5709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членов 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НКО </w:t>
      </w:r>
      <w:r w:rsidR="006C5709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в мероприятиях.</w:t>
      </w:r>
    </w:p>
    <w:p w:rsidR="001341AC" w:rsidRPr="005D3DB0" w:rsidRDefault="00C21351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1341AC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основании обобщения и анализа результатов мониторинга </w:t>
      </w:r>
      <w:r w:rsidR="00AE06D5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Совета депутатов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28 июля 2015 года № 80 «О муниципальной поддержке социально ориентированных некоммерческих организаций в городском округе город Выкса Нижегородской области» был дан ряд рекомендаций в адрес администрации городского округа город Выкса Нижегородской области. </w:t>
      </w:r>
    </w:p>
    <w:p w:rsidR="002B4704" w:rsidRPr="005D3DB0" w:rsidRDefault="002B4704" w:rsidP="005D3DB0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 w:rsidRPr="005D3DB0">
        <w:rPr>
          <w:rFonts w:eastAsia="Times New Roman"/>
          <w:color w:val="000000" w:themeColor="text1"/>
          <w:lang w:eastAsia="ru-RU"/>
        </w:rPr>
        <w:t>4) О</w:t>
      </w:r>
      <w:r w:rsidRPr="005D3DB0">
        <w:rPr>
          <w:color w:val="000000" w:themeColor="text1"/>
        </w:rPr>
        <w:t xml:space="preserve"> реализации муниципальной программы городского округа город Выкса Нижегородской области «Молодая семья» на 2021-2025 годы в 2023 году.</w:t>
      </w:r>
    </w:p>
    <w:p w:rsidR="002B2B27" w:rsidRPr="005D3DB0" w:rsidRDefault="002B2B27" w:rsidP="005D3DB0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 w:rsidRPr="005D3DB0">
        <w:rPr>
          <w:color w:val="000000" w:themeColor="text1"/>
        </w:rPr>
        <w:t>Все запланированные мероприятия в 20</w:t>
      </w:r>
      <w:r w:rsidR="005A0D2A" w:rsidRPr="005D3DB0">
        <w:rPr>
          <w:color w:val="000000" w:themeColor="text1"/>
        </w:rPr>
        <w:t>2</w:t>
      </w:r>
      <w:r w:rsidRPr="005D3DB0">
        <w:rPr>
          <w:color w:val="000000" w:themeColor="text1"/>
        </w:rPr>
        <w:t>3 году выполнены в полном объеме.</w:t>
      </w:r>
    </w:p>
    <w:p w:rsidR="003975DD" w:rsidRPr="005D3DB0" w:rsidRDefault="002B2B27" w:rsidP="005D3DB0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 w:rsidRPr="005D3DB0">
        <w:rPr>
          <w:color w:val="000000" w:themeColor="text1"/>
        </w:rPr>
        <w:t>Две молодые семьи получили социальную выплату на улучшение жилищных</w:t>
      </w:r>
      <w:r w:rsidR="004C6D4D" w:rsidRPr="005D3DB0">
        <w:rPr>
          <w:color w:val="000000" w:themeColor="text1"/>
        </w:rPr>
        <w:t xml:space="preserve"> условий.</w:t>
      </w:r>
      <w:r w:rsidR="00FD55B6" w:rsidRPr="005D3DB0">
        <w:rPr>
          <w:color w:val="000000" w:themeColor="text1"/>
        </w:rPr>
        <w:t xml:space="preserve"> Одной многодетной семье – получателю социальной выплаты в 2022 году</w:t>
      </w:r>
      <w:r w:rsidR="00B87429" w:rsidRPr="005D3DB0">
        <w:rPr>
          <w:color w:val="000000" w:themeColor="text1"/>
        </w:rPr>
        <w:t xml:space="preserve"> предоставлена дополнительная социальная выплата, предусмотренная на компенсаци</w:t>
      </w:r>
      <w:r w:rsidR="006C5709" w:rsidRPr="005D3DB0">
        <w:rPr>
          <w:color w:val="000000" w:themeColor="text1"/>
        </w:rPr>
        <w:t>ю</w:t>
      </w:r>
      <w:r w:rsidR="00B87429" w:rsidRPr="005D3DB0">
        <w:rPr>
          <w:color w:val="000000" w:themeColor="text1"/>
        </w:rPr>
        <w:t xml:space="preserve"> части затрат на приобретение (строительство) жилья в случае рождения ребенка.</w:t>
      </w:r>
      <w:r w:rsidR="003975DD" w:rsidRPr="005D3DB0">
        <w:rPr>
          <w:color w:val="000000" w:themeColor="text1"/>
        </w:rPr>
        <w:t xml:space="preserve"> 35 семей продолжают получать поддержку в виде компенсации процентной ставки сверх льготной по кредитам, выданным участникам программы. Региональную поддержку на улучшение жилищных условий получила одна семья</w:t>
      </w:r>
      <w:r w:rsidR="00E012F8" w:rsidRPr="005D3DB0">
        <w:rPr>
          <w:color w:val="000000" w:themeColor="text1"/>
        </w:rPr>
        <w:t>, средства социальной выплаты она использовала для погашения основной суммы долга и уплату процентов по ипотечного жилищному кредиту на приобретение жилого помещения на вторичном рынке.</w:t>
      </w:r>
    </w:p>
    <w:p w:rsidR="002B4704" w:rsidRPr="005D3DB0" w:rsidRDefault="002B4704" w:rsidP="005D3D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5)</w:t>
      </w:r>
      <w:r w:rsidRPr="005D3D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обеспечении отдыха, оздоровления и занятости детей и молодежи городского округа город Выкса в рамках подпрограммы «Развитие дополнительного образования и воспитания детей и молодежи» муниципальной программы «Развитие образования городского округа город Выкса Нижегородской области».</w:t>
      </w:r>
    </w:p>
    <w:p w:rsidR="00207E53" w:rsidRPr="005D3DB0" w:rsidRDefault="005A0D2A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</w:t>
      </w:r>
      <w:r w:rsidR="00540B15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540B15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обеспечение межведомственного взаимодействия возложены на </w:t>
      </w:r>
      <w:r w:rsidR="00E012F8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межведомственн</w:t>
      </w:r>
      <w:r w:rsidR="00540B15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="00E012F8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</w:t>
      </w:r>
      <w:r w:rsidR="00207E53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ию.</w:t>
      </w:r>
    </w:p>
    <w:p w:rsidR="00207E53" w:rsidRPr="005D3DB0" w:rsidRDefault="00207E53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отчетный период для детей округа были организованы разнообразные формы отдыха, </w:t>
      </w:r>
      <w:r w:rsidR="00881194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оздоровления и занятости</w:t>
      </w:r>
      <w:r w:rsidR="005A0D2A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81194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Особое внимание уделя</w:t>
      </w:r>
      <w:r w:rsidR="00A02662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лось</w:t>
      </w:r>
      <w:r w:rsidR="00881194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физкультурно-оздоровительной работе, духовно-нравственному, экологическому воспитанию.</w:t>
      </w:r>
    </w:p>
    <w:p w:rsidR="00207E53" w:rsidRPr="005D3DB0" w:rsidRDefault="00881194" w:rsidP="005D3D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охват </w:t>
      </w:r>
      <w:r w:rsidR="00904380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2024 год 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составил более 20 тысяч </w:t>
      </w:r>
      <w:r w:rsidR="006C5709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0B45" w:rsidRPr="005D3DB0" w:rsidRDefault="00A02662" w:rsidP="005D3D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в рамках обсуждения о</w:t>
      </w:r>
      <w:r w:rsidR="003E0B45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собое внимание было уделено вопросам строительства и капитального ремонта образовательных организаций, антитеррористическо</w:t>
      </w:r>
      <w:r w:rsidR="00A3018F" w:rsidRPr="005D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защищенности объектов образования, а также кадровой политики.</w:t>
      </w:r>
    </w:p>
    <w:p w:rsidR="00721219" w:rsidRPr="005D3DB0" w:rsidRDefault="00721219" w:rsidP="005D3DB0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/>
          <w:color w:val="000000" w:themeColor="text1"/>
          <w:sz w:val="24"/>
          <w:szCs w:val="24"/>
        </w:rPr>
        <w:t>Также на совместных заседаниях постоянных комиссий Совета депутатов были рассмотрены вопросы:</w:t>
      </w:r>
    </w:p>
    <w:p w:rsidR="004E2FA0" w:rsidRPr="005D3DB0" w:rsidRDefault="00705570" w:rsidP="005D3DB0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4E2FA0" w:rsidRPr="005D3DB0">
        <w:rPr>
          <w:rFonts w:ascii="Times New Roman" w:hAnsi="Times New Roman"/>
          <w:color w:val="000000" w:themeColor="text1"/>
          <w:sz w:val="24"/>
          <w:szCs w:val="24"/>
        </w:rPr>
        <w:t xml:space="preserve"> об отчете о деятельности главы местного самоуправления, деятельности администрации городского округа город Выкса Нижегородской области за 202</w:t>
      </w:r>
      <w:r w:rsidR="006C5709" w:rsidRPr="005D3DB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E2FA0" w:rsidRPr="005D3DB0">
        <w:rPr>
          <w:rFonts w:ascii="Times New Roman" w:hAnsi="Times New Roman"/>
          <w:color w:val="000000" w:themeColor="text1"/>
          <w:sz w:val="24"/>
          <w:szCs w:val="24"/>
        </w:rPr>
        <w:t xml:space="preserve"> год;</w:t>
      </w:r>
    </w:p>
    <w:p w:rsidR="002A658A" w:rsidRPr="005D3DB0" w:rsidRDefault="00705570" w:rsidP="005D3DB0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2A658A" w:rsidRPr="005D3DB0">
        <w:rPr>
          <w:rFonts w:ascii="Times New Roman" w:hAnsi="Times New Roman"/>
          <w:color w:val="000000" w:themeColor="text1"/>
          <w:sz w:val="24"/>
          <w:szCs w:val="24"/>
        </w:rPr>
        <w:t xml:space="preserve"> об отчете о деятельности контрольно-счетной инспекции городского округа город Выкса Нижегородской области за 202</w:t>
      </w:r>
      <w:r w:rsidR="006C5709" w:rsidRPr="005D3DB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963DA" w:rsidRPr="005D3D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658A" w:rsidRPr="005D3DB0">
        <w:rPr>
          <w:rFonts w:ascii="Times New Roman" w:hAnsi="Times New Roman"/>
          <w:color w:val="000000" w:themeColor="text1"/>
          <w:sz w:val="24"/>
          <w:szCs w:val="24"/>
        </w:rPr>
        <w:t>год;</w:t>
      </w:r>
    </w:p>
    <w:p w:rsidR="004E2FA0" w:rsidRPr="005D3DB0" w:rsidRDefault="00705570" w:rsidP="005D3DB0">
      <w:pPr>
        <w:pStyle w:val="a5"/>
        <w:spacing w:line="27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4E2FA0" w:rsidRPr="005D3DB0">
        <w:rPr>
          <w:rFonts w:ascii="Times New Roman" w:hAnsi="Times New Roman"/>
          <w:color w:val="000000" w:themeColor="text1"/>
          <w:sz w:val="24"/>
          <w:szCs w:val="24"/>
        </w:rPr>
        <w:t xml:space="preserve"> о поручениях Совета депутатов городского округа город Выкса Нижегородской области контрольно-счетной инспекции городского округа город Выкса Нижегородской области на 202</w:t>
      </w:r>
      <w:r w:rsidR="008660A8" w:rsidRPr="005D3DB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7963DA" w:rsidRPr="005D3D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2FA0" w:rsidRPr="005D3DB0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AF4B74" w:rsidRPr="005D3DB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13C1B" w:rsidRPr="005D3DB0" w:rsidRDefault="001E077F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 </w:t>
      </w:r>
      <w:r w:rsidR="008660A8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внесении изменений в 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</w:t>
      </w:r>
      <w:r w:rsidR="008660A8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увековечивании памяти выдающихся личностей и исторических событий в горо</w:t>
      </w:r>
      <w:bookmarkStart w:id="0" w:name="_GoBack"/>
      <w:bookmarkEnd w:id="0"/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дском округе го</w:t>
      </w:r>
      <w:r w:rsidR="00713C1B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род Выкса Нижегородской области;</w:t>
      </w:r>
    </w:p>
    <w:p w:rsidR="00713C1B" w:rsidRPr="005D3DB0" w:rsidRDefault="00B73F44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13C1B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) о проект</w:t>
      </w:r>
      <w:r w:rsidR="00881194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13C1B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инициативного бюджетирования «Вам решать!».</w:t>
      </w:r>
    </w:p>
    <w:p w:rsidR="00EE0BB7" w:rsidRPr="005D3DB0" w:rsidRDefault="00561B69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Основн</w:t>
      </w:r>
      <w:r w:rsidR="001E077F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</w:t>
      </w:r>
      <w:r w:rsidR="001E077F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</w:t>
      </w:r>
      <w:r w:rsidR="001E077F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остается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совместная работа с администрацией городского округа город Выкса</w:t>
      </w:r>
      <w:r w:rsidR="00C512F2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Нижегородской области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, направленная на решение вопросов социального характера.</w:t>
      </w:r>
    </w:p>
    <w:p w:rsidR="00646B8D" w:rsidRPr="005D3DB0" w:rsidRDefault="00646B8D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контрольно-счетной инспекцией городского округа город Выкса Нижегородской области (далее – КСИ) осуществля</w:t>
      </w:r>
      <w:r w:rsidR="00A02662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лось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ознакомления с материалами к заседаниям постоянной комиссии, рассмотрения заключений КСИ на проекты решений, рассмотрения информации КСИ о результатах проведенных проверок.</w:t>
      </w:r>
    </w:p>
    <w:p w:rsidR="005C54C8" w:rsidRPr="005D3DB0" w:rsidRDefault="005C54C8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 принимали участие в значимых мероприятиях и акциях.</w:t>
      </w:r>
    </w:p>
    <w:p w:rsidR="00FB0D9F" w:rsidRPr="005D3DB0" w:rsidRDefault="00FB0D9F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каждый </w:t>
      </w:r>
      <w:r w:rsidR="0016311C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депутат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проводил прием граждан, интересовался проблемами округа.</w:t>
      </w:r>
    </w:p>
    <w:p w:rsidR="0016311C" w:rsidRPr="005D3DB0" w:rsidRDefault="00A54CF0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Основны</w:t>
      </w:r>
      <w:r w:rsidR="005D206C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</w:t>
      </w:r>
      <w:r w:rsidR="005D206C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постоянной комиссии на 202</w:t>
      </w:r>
      <w:r w:rsidR="00F72A19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5D206C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осуществление контроля за </w:t>
      </w:r>
      <w:r w:rsidR="005D206C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вопросов местного значения в рамках </w:t>
      </w:r>
      <w:r w:rsidR="00483B80"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компетенции постоянной комиссии, особое внимание планируется уделить контролю за </w:t>
      </w:r>
      <w:r w:rsidRPr="005D3DB0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исполнением муниципальных программ социальной направленности.</w:t>
      </w:r>
    </w:p>
    <w:p w:rsidR="008B1919" w:rsidRPr="005D3DB0" w:rsidRDefault="008B1919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:rsidR="00A54CF0" w:rsidRPr="005D3DB0" w:rsidRDefault="00A54CF0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:rsidR="00713C1B" w:rsidRPr="005D3DB0" w:rsidRDefault="00713C1B" w:rsidP="005D3DB0">
      <w:pPr>
        <w:spacing w:after="0" w:line="276" w:lineRule="auto"/>
        <w:ind w:firstLine="851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sectPr w:rsidR="00713C1B" w:rsidRPr="005D3DB0" w:rsidSect="002A65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87"/>
    <w:rsid w:val="00020351"/>
    <w:rsid w:val="000A3A5B"/>
    <w:rsid w:val="000B583E"/>
    <w:rsid w:val="000D0542"/>
    <w:rsid w:val="000D2EC2"/>
    <w:rsid w:val="000E5C74"/>
    <w:rsid w:val="000F5D01"/>
    <w:rsid w:val="001118CE"/>
    <w:rsid w:val="0013321B"/>
    <w:rsid w:val="001341AC"/>
    <w:rsid w:val="00147B66"/>
    <w:rsid w:val="0016311C"/>
    <w:rsid w:val="00187B71"/>
    <w:rsid w:val="0019685F"/>
    <w:rsid w:val="001A6EA9"/>
    <w:rsid w:val="001D167E"/>
    <w:rsid w:val="001E077F"/>
    <w:rsid w:val="001E14BC"/>
    <w:rsid w:val="001E47A3"/>
    <w:rsid w:val="001F4A1B"/>
    <w:rsid w:val="001F5D81"/>
    <w:rsid w:val="00207E53"/>
    <w:rsid w:val="00213787"/>
    <w:rsid w:val="00241115"/>
    <w:rsid w:val="002417E9"/>
    <w:rsid w:val="00247163"/>
    <w:rsid w:val="002A658A"/>
    <w:rsid w:val="002B2B27"/>
    <w:rsid w:val="002B4704"/>
    <w:rsid w:val="002C10C0"/>
    <w:rsid w:val="002D2064"/>
    <w:rsid w:val="003349AB"/>
    <w:rsid w:val="00367C93"/>
    <w:rsid w:val="00394211"/>
    <w:rsid w:val="00395796"/>
    <w:rsid w:val="003975DD"/>
    <w:rsid w:val="003A3008"/>
    <w:rsid w:val="003B74D9"/>
    <w:rsid w:val="003C2BD6"/>
    <w:rsid w:val="003C639A"/>
    <w:rsid w:val="003D7369"/>
    <w:rsid w:val="003E0B45"/>
    <w:rsid w:val="003E1C60"/>
    <w:rsid w:val="003E3E94"/>
    <w:rsid w:val="003E49B7"/>
    <w:rsid w:val="003F7A1E"/>
    <w:rsid w:val="00415F3E"/>
    <w:rsid w:val="00433D60"/>
    <w:rsid w:val="0045031B"/>
    <w:rsid w:val="00483B80"/>
    <w:rsid w:val="004C6D4D"/>
    <w:rsid w:val="004D7CF0"/>
    <w:rsid w:val="004E2FA0"/>
    <w:rsid w:val="005038C6"/>
    <w:rsid w:val="00515517"/>
    <w:rsid w:val="00540B15"/>
    <w:rsid w:val="00540C74"/>
    <w:rsid w:val="00561B69"/>
    <w:rsid w:val="00575810"/>
    <w:rsid w:val="00583FC0"/>
    <w:rsid w:val="005901E9"/>
    <w:rsid w:val="005A0D2A"/>
    <w:rsid w:val="005A572D"/>
    <w:rsid w:val="005C54C8"/>
    <w:rsid w:val="005D206C"/>
    <w:rsid w:val="005D3DB0"/>
    <w:rsid w:val="006354FB"/>
    <w:rsid w:val="00646B8D"/>
    <w:rsid w:val="00651FB8"/>
    <w:rsid w:val="00664684"/>
    <w:rsid w:val="0066536E"/>
    <w:rsid w:val="006872A5"/>
    <w:rsid w:val="006A3CF4"/>
    <w:rsid w:val="006B380E"/>
    <w:rsid w:val="006C35F2"/>
    <w:rsid w:val="006C5709"/>
    <w:rsid w:val="00705570"/>
    <w:rsid w:val="00713C1B"/>
    <w:rsid w:val="00721219"/>
    <w:rsid w:val="00746AD0"/>
    <w:rsid w:val="00757FD0"/>
    <w:rsid w:val="00783ADD"/>
    <w:rsid w:val="007963DA"/>
    <w:rsid w:val="007B03B5"/>
    <w:rsid w:val="007B5B76"/>
    <w:rsid w:val="007D6CD3"/>
    <w:rsid w:val="008117B0"/>
    <w:rsid w:val="00816894"/>
    <w:rsid w:val="008660A8"/>
    <w:rsid w:val="00881194"/>
    <w:rsid w:val="008B1919"/>
    <w:rsid w:val="008C44FC"/>
    <w:rsid w:val="008D2B24"/>
    <w:rsid w:val="008D3553"/>
    <w:rsid w:val="00904380"/>
    <w:rsid w:val="00A02662"/>
    <w:rsid w:val="00A06754"/>
    <w:rsid w:val="00A236B5"/>
    <w:rsid w:val="00A3018F"/>
    <w:rsid w:val="00A456C0"/>
    <w:rsid w:val="00A533C5"/>
    <w:rsid w:val="00A54CF0"/>
    <w:rsid w:val="00A72560"/>
    <w:rsid w:val="00AC70AD"/>
    <w:rsid w:val="00AD5B6F"/>
    <w:rsid w:val="00AE06D5"/>
    <w:rsid w:val="00AF35A4"/>
    <w:rsid w:val="00AF4B74"/>
    <w:rsid w:val="00AF50E5"/>
    <w:rsid w:val="00B12690"/>
    <w:rsid w:val="00B13ED7"/>
    <w:rsid w:val="00B323E0"/>
    <w:rsid w:val="00B41412"/>
    <w:rsid w:val="00B73F44"/>
    <w:rsid w:val="00B87429"/>
    <w:rsid w:val="00BC4A1A"/>
    <w:rsid w:val="00BE4126"/>
    <w:rsid w:val="00C21351"/>
    <w:rsid w:val="00C45B72"/>
    <w:rsid w:val="00C512F2"/>
    <w:rsid w:val="00C56349"/>
    <w:rsid w:val="00C617D4"/>
    <w:rsid w:val="00C90EF1"/>
    <w:rsid w:val="00CC6FD9"/>
    <w:rsid w:val="00CD13E1"/>
    <w:rsid w:val="00CD3F4C"/>
    <w:rsid w:val="00CE0402"/>
    <w:rsid w:val="00CF66B3"/>
    <w:rsid w:val="00D37FED"/>
    <w:rsid w:val="00D83623"/>
    <w:rsid w:val="00D91696"/>
    <w:rsid w:val="00DA4A2C"/>
    <w:rsid w:val="00E012F8"/>
    <w:rsid w:val="00E05040"/>
    <w:rsid w:val="00E0523D"/>
    <w:rsid w:val="00E11330"/>
    <w:rsid w:val="00E70D95"/>
    <w:rsid w:val="00E72535"/>
    <w:rsid w:val="00E92923"/>
    <w:rsid w:val="00E95EB8"/>
    <w:rsid w:val="00EC7886"/>
    <w:rsid w:val="00ED4A46"/>
    <w:rsid w:val="00EE0BB7"/>
    <w:rsid w:val="00EF1D68"/>
    <w:rsid w:val="00F249B0"/>
    <w:rsid w:val="00F701AD"/>
    <w:rsid w:val="00F72A19"/>
    <w:rsid w:val="00FB0D9F"/>
    <w:rsid w:val="00FB56E5"/>
    <w:rsid w:val="00FB5B31"/>
    <w:rsid w:val="00FD12CD"/>
    <w:rsid w:val="00FD55B6"/>
    <w:rsid w:val="00FD7F56"/>
    <w:rsid w:val="00FF1E49"/>
    <w:rsid w:val="00FF73D8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77F2E-9541-4E12-B55F-3416150C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B66"/>
    <w:rPr>
      <w:color w:val="0563C1" w:themeColor="hyperlink"/>
      <w:u w:val="single"/>
    </w:rPr>
  </w:style>
  <w:style w:type="paragraph" w:styleId="a5">
    <w:name w:val="No Spacing"/>
    <w:uiPriority w:val="1"/>
    <w:qFormat/>
    <w:rsid w:val="00CD13E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2471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71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71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716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716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4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71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9667-964D-476B-B284-33E33B71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Галина Ивановна</dc:creator>
  <cp:keywords/>
  <dc:description/>
  <cp:lastModifiedBy>Багрянская Инна Владимировна</cp:lastModifiedBy>
  <cp:revision>38</cp:revision>
  <cp:lastPrinted>2025-02-26T07:26:00Z</cp:lastPrinted>
  <dcterms:created xsi:type="dcterms:W3CDTF">2024-12-02T13:30:00Z</dcterms:created>
  <dcterms:modified xsi:type="dcterms:W3CDTF">2025-02-26T07:30:00Z</dcterms:modified>
</cp:coreProperties>
</file>